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《高温气冷堆核动力厂启停堆系统试验导则》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编制说明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（征求意见稿）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一、工作简况</w:t>
      </w:r>
    </w:p>
    <w:p>
      <w:pPr>
        <w:rPr>
          <w:b/>
        </w:rPr>
      </w:pPr>
      <w:r>
        <w:rPr>
          <w:rFonts w:hint="eastAsia"/>
          <w:b/>
        </w:rPr>
        <w:t>1、任务来源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根据中国华能集团有限公司总部科技项目《高温气冷堆标准体系及标准开发》（编号：HNKJ22-HXX）的要求，开发高温气冷堆企业、团体、行业、国家和国际不同层级标准，推进高温堆技术优化和产业推广。本标准属于该项目</w:t>
      </w:r>
      <w:r>
        <w:rPr>
          <w:rFonts w:hint="eastAsia"/>
          <w:lang w:val="en-US" w:eastAsia="zh-CN"/>
        </w:rPr>
        <w:t>团体</w:t>
      </w:r>
      <w:r>
        <w:rPr>
          <w:rFonts w:hint="eastAsia"/>
        </w:rPr>
        <w:t>标准</w:t>
      </w:r>
      <w:r>
        <w:rPr>
          <w:rFonts w:hint="eastAsia"/>
          <w:lang w:eastAsia="zh-CN"/>
        </w:rPr>
        <w:t>。</w:t>
      </w:r>
    </w:p>
    <w:p>
      <w:pPr>
        <w:rPr>
          <w:b/>
        </w:rPr>
      </w:pPr>
      <w:r>
        <w:rPr>
          <w:rFonts w:hint="eastAsia"/>
          <w:b/>
        </w:rPr>
        <w:t>2、主要工作过程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起草阶段</w:t>
      </w:r>
      <w:r>
        <w:rPr>
          <w:rFonts w:hint="eastAsia"/>
          <w:lang w:eastAsia="zh-CN"/>
        </w:rPr>
        <w:t>：本标准立足于高温气冷堆核电厂</w:t>
      </w:r>
      <w:r>
        <w:rPr>
          <w:rFonts w:hint="eastAsia"/>
          <w:lang w:val="en-US" w:eastAsia="zh-CN"/>
        </w:rPr>
        <w:t>特有的启停堆系统</w:t>
      </w:r>
      <w:r>
        <w:rPr>
          <w:rFonts w:hint="eastAsia"/>
          <w:lang w:eastAsia="zh-CN"/>
        </w:rPr>
        <w:t>的</w:t>
      </w:r>
      <w:r>
        <w:rPr>
          <w:rFonts w:hint="eastAsia"/>
          <w:lang w:val="en-US" w:eastAsia="zh-CN"/>
        </w:rPr>
        <w:t>这一</w:t>
      </w:r>
      <w:r>
        <w:rPr>
          <w:rFonts w:hint="eastAsia"/>
          <w:lang w:eastAsia="zh-CN"/>
        </w:rPr>
        <w:t>特点，结合</w:t>
      </w:r>
      <w:r>
        <w:rPr>
          <w:rFonts w:hint="eastAsia"/>
          <w:lang w:val="en-US" w:eastAsia="zh-CN"/>
        </w:rPr>
        <w:t>现场实际试验开展</w:t>
      </w:r>
      <w:r>
        <w:rPr>
          <w:rFonts w:hint="eastAsia"/>
          <w:lang w:eastAsia="zh-CN"/>
        </w:rPr>
        <w:t>高温气冷堆</w:t>
      </w:r>
      <w:r>
        <w:rPr>
          <w:rFonts w:hint="eastAsia"/>
          <w:lang w:val="en-US" w:eastAsia="zh-CN"/>
        </w:rPr>
        <w:t>核动力厂启停堆系统试验导则初稿的</w:t>
      </w:r>
      <w:r>
        <w:rPr>
          <w:rFonts w:hint="eastAsia"/>
          <w:lang w:eastAsia="zh-CN"/>
        </w:rPr>
        <w:t>编制</w:t>
      </w:r>
      <w:r>
        <w:rPr>
          <w:rFonts w:hint="eastAsia"/>
          <w:lang w:val="en-US" w:eastAsia="zh-CN"/>
        </w:rPr>
        <w:t>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/>
        </w:rPr>
        <w:t>征求意见阶段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初稿修订后开展了专家评审会，会议通过了立项评审，并提出了修改意见，会后根据会议纪要进行修改编织征求意见稿。</w:t>
      </w:r>
    </w:p>
    <w:p/>
    <w:p>
      <w:pPr>
        <w:rPr>
          <w:b/>
        </w:rPr>
      </w:pPr>
      <w:r>
        <w:rPr>
          <w:rFonts w:hint="eastAsia"/>
          <w:b/>
        </w:rPr>
        <w:t>3、</w:t>
      </w:r>
      <w:r>
        <w:rPr>
          <w:b/>
        </w:rPr>
        <w:t>主要参加单位和工作组成员及其所作的工作等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/>
        </w:rPr>
        <w:t>标准主要参加单位名单</w:t>
      </w:r>
      <w:r>
        <w:rPr>
          <w:rFonts w:hint="eastAsia"/>
          <w:lang w:val="en-US" w:eastAsia="zh-CN"/>
        </w:rPr>
        <w:t>是华能山东石岛湾核电有限公司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本公司负责本文件的编织，修改及定稿工作，同时负责评审会议等组织活动。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二、标准编制原则和主要内容</w:t>
      </w:r>
    </w:p>
    <w:p>
      <w:pPr>
        <w:rPr>
          <w:b/>
        </w:rPr>
      </w:pPr>
      <w:r>
        <w:rPr>
          <w:rFonts w:hint="eastAsia"/>
          <w:b/>
        </w:rPr>
        <w:t>1、标准编制原则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/>
        </w:rPr>
        <w:t>主要依据《中国核能行业协会团体标准管理办法（试行）》的相关要求，说明标准的科学性和实用性。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本标准的修订符合核电行业设备可靠性评价方法发展的原则，本着先进性、科学性、合理性和可操作性的原则以及标准的目标、统一性、协调性、实用性、一致性和规范性原则来进行本标准的制定工作。</w:t>
      </w:r>
    </w:p>
    <w:p>
      <w:pPr>
        <w:rPr>
          <w:b/>
        </w:rPr>
      </w:pPr>
      <w:r>
        <w:rPr>
          <w:rFonts w:hint="eastAsia"/>
          <w:b/>
        </w:rPr>
        <w:t>2、标准主要内容的依据</w:t>
      </w:r>
    </w:p>
    <w:p>
      <w:r>
        <w:rPr>
          <w:rFonts w:hint="eastAsia"/>
        </w:rPr>
        <w:t>标准编写的格式遵从</w:t>
      </w:r>
      <w:r>
        <w:t>GB/T 1.1-2009的要求，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>
      <w:pPr>
        <w:rPr>
          <w:b/>
        </w:rPr>
      </w:pPr>
      <w:r>
        <w:rPr>
          <w:rFonts w:hint="eastAsia"/>
          <w:b/>
        </w:rPr>
        <w:t>3、解决的主要问题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启停堆系统是国内外首座球床模块式高温气冷堆的独有系统，其作用是在机组启、停过程中，实现核岛蒸汽发生器出口蒸汽参数与汽轮机进口蒸汽参数的匹配。启停堆系统调试技术属于国内外首创，目前尚无可借鉴的调试技术。鉴于高温气冷堆主蒸汽压力和温度均高于压水堆，机组启动、停止过程中启停堆系统动态调节过程较复杂，现有压水堆相关技术标准均不适用于高温气冷堆启停堆系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/>
        </w:rPr>
        <w:t>为了固化高温气冷堆堆的调试成果，特申请建立启停堆系统试验导则，为以后的高温气冷</w:t>
      </w:r>
      <w:bookmarkStart w:id="14" w:name="_GoBack"/>
      <w:bookmarkEnd w:id="14"/>
      <w:r>
        <w:rPr>
          <w:rFonts w:hint="eastAsia"/>
        </w:rPr>
        <w:t>堆项目提供借鉴和参考，同时对于我国高温气冷堆进行国际化推广提供有力支持。</w:t>
      </w:r>
    </w:p>
    <w:p>
      <w:pPr>
        <w:rPr>
          <w:rFonts w:hint="eastAsia"/>
        </w:rPr>
      </w:pPr>
    </w:p>
    <w:p>
      <w:pPr>
        <w:outlineLvl w:val="0"/>
        <w:rPr>
          <w:rFonts w:hint="eastAsia"/>
        </w:rPr>
      </w:pPr>
      <w:r>
        <w:rPr>
          <w:rFonts w:hint="eastAsia"/>
          <w:b/>
          <w:sz w:val="28"/>
          <w:szCs w:val="28"/>
        </w:rPr>
        <w:t>三、主要试验（或验证）情况</w:t>
      </w:r>
    </w:p>
    <w:p>
      <w:pPr>
        <w:pStyle w:val="5"/>
        <w:spacing w:before="312" w:after="312"/>
        <w:ind w:left="0"/>
        <w:rPr>
          <w:sz w:val="24"/>
          <w:szCs w:val="24"/>
        </w:rPr>
      </w:pPr>
      <w:bookmarkStart w:id="0" w:name="_Toc93876298"/>
      <w:r>
        <w:rPr>
          <w:rFonts w:hint="eastAsia"/>
          <w:sz w:val="24"/>
          <w:szCs w:val="24"/>
        </w:rPr>
        <w:t>试验内容及方法</w:t>
      </w:r>
      <w:bookmarkEnd w:id="0"/>
    </w:p>
    <w:p>
      <w:pPr>
        <w:pStyle w:val="7"/>
        <w:spacing w:before="156" w:after="156"/>
        <w:rPr>
          <w:rFonts w:hAnsi="黑体"/>
          <w:bCs/>
          <w:sz w:val="24"/>
          <w:szCs w:val="24"/>
        </w:rPr>
      </w:pPr>
      <w:bookmarkStart w:id="1" w:name="_Toc93876302"/>
      <w:bookmarkStart w:id="2" w:name="_Toc93090734"/>
      <w:r>
        <w:rPr>
          <w:rFonts w:hint="eastAsia" w:hAnsi="黑体"/>
          <w:bCs/>
          <w:sz w:val="24"/>
          <w:szCs w:val="24"/>
        </w:rPr>
        <w:t>仪表及通道检查</w:t>
      </w:r>
      <w:bookmarkEnd w:id="1"/>
      <w:bookmarkEnd w:id="2"/>
    </w:p>
    <w:p>
      <w:pPr>
        <w:pStyle w:val="8"/>
        <w:rPr>
          <w:rFonts w:hAnsi="黑体"/>
          <w:sz w:val="24"/>
          <w:szCs w:val="24"/>
        </w:rPr>
      </w:pPr>
      <w:r>
        <w:rPr>
          <w:rFonts w:hint="eastAsia" w:hAnsi="宋体"/>
          <w:sz w:val="24"/>
          <w:szCs w:val="24"/>
        </w:rPr>
        <w:t>验证测量元件和仪表至控制柜之间的电缆端接的正确性</w:t>
      </w:r>
      <w:r>
        <w:rPr>
          <w:rFonts w:hint="eastAsia" w:hAnsi="黑体"/>
          <w:sz w:val="24"/>
          <w:szCs w:val="24"/>
        </w:rPr>
        <w:t>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检查各仪表的零点和量程符合设计要求</w:t>
      </w:r>
      <w:r>
        <w:rPr>
          <w:rFonts w:hint="eastAsia"/>
          <w:sz w:val="24"/>
          <w:szCs w:val="24"/>
        </w:rPr>
        <w:t>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检查测量元件和仪表及其连接电缆的绝缘和接地连续性。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模拟测量元件或仪表的工作状态，检查显示正确。</w:t>
      </w:r>
    </w:p>
    <w:p>
      <w:pPr>
        <w:pStyle w:val="7"/>
        <w:spacing w:before="156" w:after="156"/>
        <w:rPr>
          <w:rFonts w:hAnsi="黑体"/>
          <w:sz w:val="24"/>
          <w:szCs w:val="24"/>
        </w:rPr>
      </w:pPr>
      <w:bookmarkStart w:id="3" w:name="_Toc93090733"/>
      <w:bookmarkStart w:id="4" w:name="_Toc93876299"/>
      <w:r>
        <w:rPr>
          <w:rFonts w:hint="eastAsia" w:hAnsi="黑体"/>
          <w:sz w:val="24"/>
          <w:szCs w:val="24"/>
        </w:rPr>
        <w:t>阀门试验</w:t>
      </w:r>
      <w:bookmarkEnd w:id="3"/>
      <w:bookmarkEnd w:id="4"/>
    </w:p>
    <w:p>
      <w:pPr>
        <w:pStyle w:val="9"/>
        <w:spacing w:before="156" w:after="156"/>
        <w:outlineLvl w:val="9"/>
        <w:rPr>
          <w:rFonts w:ascii="宋体" w:hAnsi="宋体" w:eastAsia="宋体"/>
          <w:sz w:val="24"/>
          <w:szCs w:val="24"/>
        </w:rPr>
      </w:pPr>
      <w:bookmarkStart w:id="5" w:name="_Toc93876300"/>
      <w:r>
        <w:rPr>
          <w:rFonts w:hint="eastAsia" w:ascii="宋体" w:hAnsi="宋体" w:eastAsia="宋体"/>
          <w:sz w:val="24"/>
          <w:szCs w:val="24"/>
        </w:rPr>
        <w:t>按照GB/T 25739-2010《核电厂阀门调试技术导则》中的规定对阀门进行调试。厂家有特殊规定的，按厂家要求执行。</w:t>
      </w:r>
    </w:p>
    <w:p>
      <w:pPr>
        <w:pStyle w:val="9"/>
        <w:spacing w:before="156" w:after="156"/>
        <w:outlineLvl w:val="9"/>
        <w:rPr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对电动隔离阀、电动调节阀、气动隔离阀、气动调节阀和手动隔离阀进行空载动作试验</w:t>
      </w:r>
      <w:bookmarkEnd w:id="5"/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pStyle w:val="9"/>
        <w:spacing w:before="156" w:after="156"/>
        <w:outlineLvl w:val="9"/>
        <w:rPr>
          <w:rFonts w:ascii="宋体" w:hAnsi="宋体" w:eastAsia="宋体"/>
          <w:sz w:val="24"/>
          <w:szCs w:val="24"/>
        </w:rPr>
      </w:pPr>
      <w:bookmarkStart w:id="6" w:name="_Toc93876301"/>
      <w:r>
        <w:rPr>
          <w:rFonts w:hint="eastAsia" w:ascii="宋体" w:hAnsi="宋体" w:eastAsia="宋体"/>
          <w:sz w:val="24"/>
          <w:szCs w:val="24"/>
        </w:rPr>
        <w:t>阀门带载功能试验</w:t>
      </w:r>
      <w:bookmarkEnd w:id="6"/>
    </w:p>
    <w:p>
      <w:pPr>
        <w:pStyle w:val="6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阀门</w:t>
      </w:r>
      <w:r>
        <w:rPr>
          <w:rFonts w:hint="eastAsia" w:hAnsi="宋体"/>
          <w:sz w:val="24"/>
          <w:szCs w:val="24"/>
        </w:rPr>
        <w:t>带载功能试验主要包括以下内容：</w:t>
      </w:r>
    </w:p>
    <w:p>
      <w:pPr>
        <w:pStyle w:val="10"/>
        <w:numPr>
          <w:ilvl w:val="0"/>
          <w:numId w:val="3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在系统功能试验期间，各类阀门动作正确，运行平稳，无异常振动和噪音，无异常报警；</w:t>
      </w:r>
    </w:p>
    <w:p>
      <w:pPr>
        <w:pStyle w:val="10"/>
        <w:numPr>
          <w:ilvl w:val="0"/>
          <w:numId w:val="3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结合系统功能试验测量并记录阀门的开度、行程等参数，并与空载试验的参数进行比较，应满足设计要求；</w:t>
      </w:r>
    </w:p>
    <w:p>
      <w:pPr>
        <w:pStyle w:val="10"/>
        <w:numPr>
          <w:ilvl w:val="0"/>
          <w:numId w:val="3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阀门带载试验完毕后应对阀门机构进行检查，检查项目包括：确认机械部件表面无磨损、擦伤和变形现象；确认紧固件无松动；确认阀门无外漏现象。</w:t>
      </w:r>
    </w:p>
    <w:p>
      <w:pPr>
        <w:pStyle w:val="7"/>
        <w:spacing w:before="156" w:after="156"/>
        <w:rPr>
          <w:rFonts w:hAnsi="黑体"/>
          <w:bCs/>
          <w:sz w:val="24"/>
          <w:szCs w:val="24"/>
        </w:rPr>
      </w:pPr>
      <w:bookmarkStart w:id="7" w:name="_Toc93090735"/>
      <w:bookmarkStart w:id="8" w:name="_Toc93876303"/>
      <w:r>
        <w:rPr>
          <w:rFonts w:hint="eastAsia" w:hAnsi="黑体"/>
          <w:bCs/>
          <w:sz w:val="24"/>
          <w:szCs w:val="24"/>
        </w:rPr>
        <w:t>汽水分离器试验</w:t>
      </w:r>
      <w:bookmarkEnd w:id="7"/>
      <w:bookmarkEnd w:id="8"/>
    </w:p>
    <w:p>
      <w:pPr>
        <w:pStyle w:val="8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汽水分离器试验可参考NB/T 25012</w:t>
      </w:r>
      <w:r>
        <w:rPr>
          <w:rFonts w:hint="eastAsia" w:hAnsi="宋体"/>
          <w:sz w:val="24"/>
          <w:szCs w:val="24"/>
        </w:rPr>
        <w:t>-2013《</w:t>
      </w:r>
      <w:r>
        <w:rPr>
          <w:rFonts w:hAnsi="宋体"/>
          <w:sz w:val="24"/>
          <w:szCs w:val="24"/>
        </w:rPr>
        <w:t>核电厂汽水分离再热器系统调试导则》。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检查容器液位仪表通道的可用性</w:t>
      </w:r>
      <w:r>
        <w:rPr>
          <w:rFonts w:hint="eastAsia"/>
          <w:sz w:val="24"/>
          <w:szCs w:val="24"/>
        </w:rPr>
        <w:t>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检查容器液位报警定值和该报警相应的控制动作过程及报警信号。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检查容器溢流保护装置的可用性。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汽水分离器充排水试验。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汽水分离器排气阀试验。</w:t>
      </w:r>
    </w:p>
    <w:p>
      <w:pPr>
        <w:pStyle w:val="7"/>
        <w:spacing w:before="156" w:after="156"/>
        <w:rPr>
          <w:rFonts w:hAnsi="黑体"/>
          <w:sz w:val="24"/>
          <w:szCs w:val="24"/>
        </w:rPr>
      </w:pPr>
      <w:bookmarkStart w:id="9" w:name="_Toc93876304"/>
      <w:bookmarkStart w:id="10" w:name="_Toc93090736"/>
      <w:r>
        <w:rPr>
          <w:rFonts w:hint="eastAsia" w:hAnsi="黑体"/>
          <w:sz w:val="24"/>
          <w:szCs w:val="24"/>
        </w:rPr>
        <w:t>逻辑功能试验</w:t>
      </w:r>
      <w:bookmarkEnd w:id="9"/>
      <w:bookmarkEnd w:id="10"/>
    </w:p>
    <w:p>
      <w:pPr>
        <w:pStyle w:val="6"/>
        <w:ind w:firstLine="420"/>
        <w:rPr>
          <w:sz w:val="24"/>
          <w:szCs w:val="24"/>
        </w:rPr>
      </w:pPr>
      <w:bookmarkStart w:id="11" w:name="_Toc318278069"/>
      <w:r>
        <w:rPr>
          <w:rFonts w:hint="eastAsia"/>
          <w:sz w:val="24"/>
          <w:szCs w:val="24"/>
        </w:rPr>
        <w:t>模拟机组启动和停止过程中，启停堆系统的逻辑和保护功能符合设计要求。</w:t>
      </w:r>
      <w:bookmarkEnd w:id="11"/>
    </w:p>
    <w:p>
      <w:pPr>
        <w:pStyle w:val="7"/>
        <w:spacing w:before="156" w:after="156"/>
        <w:rPr>
          <w:sz w:val="24"/>
          <w:szCs w:val="24"/>
        </w:rPr>
      </w:pPr>
      <w:bookmarkStart w:id="12" w:name="_Toc93090737"/>
      <w:bookmarkStart w:id="13" w:name="_Toc93876305"/>
      <w:r>
        <w:rPr>
          <w:rFonts w:hint="eastAsia" w:hAnsi="黑体"/>
          <w:sz w:val="24"/>
          <w:szCs w:val="24"/>
        </w:rPr>
        <w:t>启停堆系统功能试验</w:t>
      </w:r>
      <w:bookmarkEnd w:id="12"/>
      <w:bookmarkEnd w:id="13"/>
    </w:p>
    <w:p>
      <w:pPr>
        <w:pStyle w:val="8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启停堆系统正式投运前，需进行连续清洗，直至蒸汽发生器入口给水水质满足要求。</w:t>
      </w:r>
    </w:p>
    <w:p>
      <w:pPr>
        <w:pStyle w:val="8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机</w:t>
      </w:r>
      <w:r>
        <w:rPr>
          <w:rFonts w:hint="eastAsia" w:hAnsi="宋体"/>
          <w:sz w:val="24"/>
          <w:szCs w:val="24"/>
          <w:lang w:val="en-US" w:eastAsia="zh-CN"/>
        </w:rPr>
        <w:t>组</w:t>
      </w:r>
      <w:r>
        <w:rPr>
          <w:rFonts w:hint="eastAsia" w:hAnsi="宋体"/>
          <w:sz w:val="24"/>
          <w:szCs w:val="24"/>
        </w:rPr>
        <w:t>启动中启停堆系统试验</w:t>
      </w:r>
    </w:p>
    <w:p>
      <w:pPr>
        <w:pStyle w:val="8"/>
        <w:numPr>
          <w:ilvl w:val="0"/>
          <w:numId w:val="0"/>
        </w:numPr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机组启动</w:t>
      </w:r>
      <w:r>
        <w:rPr>
          <w:rFonts w:hint="eastAsia" w:hAnsi="宋体"/>
          <w:sz w:val="24"/>
          <w:szCs w:val="24"/>
        </w:rPr>
        <w:t>中启停堆系统主要试验过程如下：</w:t>
      </w:r>
    </w:p>
    <w:p>
      <w:pPr>
        <w:pStyle w:val="10"/>
        <w:numPr>
          <w:ilvl w:val="0"/>
          <w:numId w:val="4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蒸汽发生器出口为过冷水阶段：检查汽水分离器入口调节阀能够自动控制蒸汽发生器出口压力恒定；检查汽水分离器疏水调节阀能够自动控制汽水分离器水位正常；检查汽水分离器内压力达到额定运行压力后，汽轮机旁路阀能够维持汽水分离器内压力恒定</w:t>
      </w:r>
      <w:r>
        <w:rPr>
          <w:rFonts w:hint="eastAsia" w:ascii="Times New Roman"/>
          <w:sz w:val="24"/>
          <w:szCs w:val="24"/>
          <w:lang w:eastAsia="zh-CN"/>
        </w:rPr>
        <w:t>；</w:t>
      </w:r>
    </w:p>
    <w:p>
      <w:pPr>
        <w:pStyle w:val="10"/>
        <w:numPr>
          <w:ilvl w:val="0"/>
          <w:numId w:val="4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蒸汽发生器出口为汽液两相流阶段：检查汽轮机旁路阀自动控制汽水分离器中的压力恒定；</w:t>
      </w:r>
    </w:p>
    <w:p>
      <w:pPr>
        <w:pStyle w:val="10"/>
        <w:numPr>
          <w:ilvl w:val="0"/>
          <w:numId w:val="4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蒸汽发生器出口为过热蒸汽阶段：检查汽水分离器旁路阀全开后，汽水分离器调节阀后入口隔离阀、汽水分离器出口隔离阀联锁关闭，汽水分离器被隔离；检查汽轮机旁路阀自动控制汽水分离器中的压力恒定；</w:t>
      </w:r>
    </w:p>
    <w:p>
      <w:pPr>
        <w:pStyle w:val="10"/>
        <w:numPr>
          <w:ilvl w:val="0"/>
          <w:numId w:val="4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汽轮机升负荷阶段，检查汽水分离器入口调节阀后压力按照启动曲线升至额定压力</w:t>
      </w:r>
      <w:r>
        <w:rPr>
          <w:rFonts w:hint="eastAsia" w:ascii="Times New Roman"/>
          <w:sz w:val="24"/>
          <w:szCs w:val="24"/>
          <w:lang w:eastAsia="zh-CN"/>
        </w:rPr>
        <w:t>；</w:t>
      </w:r>
    </w:p>
    <w:p>
      <w:pPr>
        <w:pStyle w:val="10"/>
        <w:numPr>
          <w:ilvl w:val="0"/>
          <w:numId w:val="4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当主蒸汽温度升高至额定温度后，且反应堆主蒸汽电动隔离阀前后压差≤0.2MPa，温差≤5℃时，打开主蒸汽隔离阀，检查汽水分离器入口隔离阀、启停堆至旁路隔离阀联锁关闭</w:t>
      </w:r>
      <w:r>
        <w:rPr>
          <w:rFonts w:hint="eastAsia" w:ascii="Times New Roman"/>
          <w:sz w:val="24"/>
          <w:szCs w:val="24"/>
          <w:lang w:eastAsia="zh-CN"/>
        </w:rPr>
        <w:t>，</w:t>
      </w:r>
      <w:r>
        <w:rPr>
          <w:rFonts w:ascii="Times New Roman"/>
          <w:sz w:val="24"/>
          <w:szCs w:val="24"/>
        </w:rPr>
        <w:t>完成启停堆系统</w:t>
      </w:r>
      <w:r>
        <w:rPr>
          <w:rFonts w:hint="eastAsia" w:ascii="Times New Roman"/>
          <w:sz w:val="24"/>
          <w:szCs w:val="24"/>
          <w:lang w:val="en-US" w:eastAsia="zh-CN"/>
        </w:rPr>
        <w:t>向</w:t>
      </w:r>
      <w:r>
        <w:rPr>
          <w:rFonts w:ascii="Times New Roman"/>
          <w:sz w:val="24"/>
          <w:szCs w:val="24"/>
        </w:rPr>
        <w:t>主蒸汽系统的切换；</w:t>
      </w:r>
    </w:p>
    <w:p>
      <w:pPr>
        <w:pStyle w:val="10"/>
        <w:numPr>
          <w:ilvl w:val="0"/>
          <w:numId w:val="4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反应堆升至满功率。</w:t>
      </w:r>
    </w:p>
    <w:p>
      <w:pPr>
        <w:pStyle w:val="8"/>
        <w:rPr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机组停机</w:t>
      </w:r>
      <w:r>
        <w:rPr>
          <w:rFonts w:hint="eastAsia" w:hAnsi="宋体"/>
          <w:sz w:val="24"/>
          <w:szCs w:val="24"/>
        </w:rPr>
        <w:t>中启停堆系统试验</w:t>
      </w:r>
    </w:p>
    <w:p>
      <w:pPr>
        <w:pStyle w:val="8"/>
        <w:numPr>
          <w:ilvl w:val="0"/>
          <w:numId w:val="0"/>
        </w:numPr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  </w:t>
      </w:r>
      <w:r>
        <w:rPr>
          <w:rFonts w:hint="eastAsia" w:hAnsi="宋体"/>
          <w:sz w:val="24"/>
          <w:szCs w:val="24"/>
          <w:lang w:val="en-US" w:eastAsia="zh-CN"/>
        </w:rPr>
        <w:t>机组停止</w:t>
      </w:r>
      <w:r>
        <w:rPr>
          <w:rFonts w:hint="eastAsia" w:hAnsi="宋体"/>
          <w:sz w:val="24"/>
          <w:szCs w:val="24"/>
        </w:rPr>
        <w:t>中启停堆系统主要试验过程如下：</w:t>
      </w:r>
    </w:p>
    <w:p>
      <w:pPr>
        <w:pStyle w:val="10"/>
        <w:numPr>
          <w:ilvl w:val="0"/>
          <w:numId w:val="5"/>
        </w:numPr>
        <w:rPr>
          <w:rFonts w:asci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反应堆功率降至低负荷功率运行预设值，开启汽水分离器旁路阀和汽水分离器至主蒸汽</w:t>
      </w:r>
      <w:r>
        <w:rPr>
          <w:rFonts w:ascii="Times New Roman"/>
          <w:sz w:val="24"/>
          <w:szCs w:val="24"/>
        </w:rPr>
        <w:t>旁路阀，关闭反应堆主蒸汽至旁路电动隔离阀</w:t>
      </w:r>
      <w:r>
        <w:rPr>
          <w:rFonts w:hint="eastAsia" w:ascii="Times New Roman"/>
          <w:sz w:val="24"/>
          <w:szCs w:val="24"/>
          <w:lang w:eastAsia="zh-CN"/>
        </w:rPr>
        <w:t>，</w:t>
      </w:r>
      <w:r>
        <w:rPr>
          <w:rFonts w:hint="eastAsia" w:ascii="Times New Roman"/>
          <w:sz w:val="24"/>
          <w:szCs w:val="24"/>
        </w:rPr>
        <w:t>关闭主蒸汽电动隔离阀</w:t>
      </w:r>
      <w:r>
        <w:rPr>
          <w:rFonts w:hint="eastAsia" w:ascii="Times New Roman"/>
          <w:sz w:val="24"/>
          <w:szCs w:val="24"/>
          <w:lang w:eastAsia="zh-CN"/>
        </w:rPr>
        <w:t>，</w:t>
      </w:r>
      <w:r>
        <w:rPr>
          <w:rFonts w:ascii="Times New Roman"/>
          <w:sz w:val="24"/>
          <w:szCs w:val="24"/>
        </w:rPr>
        <w:t>完成主蒸汽系统向启停堆系统的切换；</w:t>
      </w:r>
    </w:p>
    <w:p>
      <w:pPr>
        <w:pStyle w:val="10"/>
        <w:numPr>
          <w:ilvl w:val="0"/>
          <w:numId w:val="5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由汽水分离器入口调节阀控制蒸汽发生器出口压力为额定压力，由汽轮机旁路阀控制汽水分离器入口调节阀后压力降至汽水分离器</w:t>
      </w:r>
      <w:r>
        <w:rPr>
          <w:rFonts w:hint="eastAsia" w:ascii="Times New Roman"/>
          <w:sz w:val="24"/>
          <w:szCs w:val="24"/>
        </w:rPr>
        <w:t>额定</w:t>
      </w:r>
      <w:r>
        <w:rPr>
          <w:rFonts w:ascii="Times New Roman"/>
          <w:sz w:val="24"/>
          <w:szCs w:val="24"/>
        </w:rPr>
        <w:t>运行压力；</w:t>
      </w:r>
    </w:p>
    <w:p>
      <w:pPr>
        <w:pStyle w:val="10"/>
        <w:numPr>
          <w:ilvl w:val="0"/>
          <w:numId w:val="5"/>
        </w:numPr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反应堆</w:t>
      </w:r>
      <w:r>
        <w:rPr>
          <w:rFonts w:hint="eastAsia" w:ascii="Times New Roman"/>
          <w:sz w:val="24"/>
          <w:szCs w:val="24"/>
          <w:lang w:val="en-US" w:eastAsia="zh-CN"/>
        </w:rPr>
        <w:t>降</w:t>
      </w:r>
      <w:r>
        <w:rPr>
          <w:rFonts w:ascii="Times New Roman"/>
          <w:sz w:val="24"/>
          <w:szCs w:val="24"/>
        </w:rPr>
        <w:t>负荷投入汽水分离器过程为：打开汽水分离器入口隔离阀、汽水分离器出口隔离阀，汽水分离器旁路阀联锁关闭，由汽轮机旁路调节阀控制汽水分离器内压力为额定压力，汽水分离器疏水隔离阀和汽水分离器疏水至凝汽器隔离阀联锁打开，汽水分离器疏水调节阀自动控制汽水分离器内液位为正常液位，疏水排入凝汽器。</w:t>
      </w:r>
    </w:p>
    <w:p>
      <w:pPr>
        <w:rPr>
          <w:rFonts w:hint="eastAsia"/>
          <w:sz w:val="24"/>
          <w:szCs w:val="24"/>
        </w:rPr>
      </w:pPr>
      <w:r>
        <w:rPr>
          <w:rFonts w:hint="eastAsia" w:hAnsi="宋体"/>
          <w:sz w:val="24"/>
          <w:szCs w:val="24"/>
        </w:rPr>
        <w:t>高温气冷堆启停堆系统流程图如附录A所示，试验期间运行参数记录如附录B所示。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四、标准中涉及专利的情况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不</w:t>
      </w:r>
      <w:r>
        <w:rPr>
          <w:rFonts w:hint="eastAsia"/>
        </w:rPr>
        <w:t>涉及专利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五、预期达到的社会效益、对产业发展的作用等情况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六、与国际、国外对比情况</w:t>
      </w:r>
    </w:p>
    <w:p>
      <w:r>
        <w:rPr>
          <w:rFonts w:hint="eastAsia"/>
          <w:lang w:val="en-US" w:eastAsia="zh-CN"/>
        </w:rPr>
        <w:t>无</w:t>
      </w:r>
      <w:r>
        <w:rPr>
          <w:rFonts w:hint="eastAsia"/>
        </w:rPr>
        <w:t>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本标准与现行相关法律、法规、规章及相关标准协调一致。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八、重大分歧意见的处理经过和依据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无。</w:t>
      </w: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九、标准性质的建议说明</w:t>
      </w:r>
    </w:p>
    <w:p>
      <w:r>
        <w:rPr>
          <w:rFonts w:hint="eastAsia"/>
        </w:rPr>
        <w:t>建议本标准的性质为团体标准。</w:t>
      </w:r>
    </w:p>
    <w:p>
      <w:pPr>
        <w:rPr>
          <w:rFonts w:hint="eastAsia"/>
          <w:i/>
        </w:rPr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十、贯彻标准的要求和措施建议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标准发布后，</w:t>
      </w:r>
      <w:r>
        <w:rPr>
          <w:rFonts w:hint="eastAsia"/>
          <w:lang w:val="en-US" w:eastAsia="zh-CN"/>
        </w:rPr>
        <w:t>华能山东石岛湾核电有限公司</w:t>
      </w:r>
      <w:r>
        <w:rPr>
          <w:rFonts w:hint="eastAsia"/>
        </w:rPr>
        <w:t>将配合中国核能行业协会组织行业召开标准宣贯会，开展培训活动，促进该标准更好的贯彻实施。</w:t>
      </w:r>
    </w:p>
    <w:p>
      <w:pPr>
        <w:rPr>
          <w:rFonts w:hint="eastAsia"/>
          <w:i/>
        </w:rPr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十一、废止现行相关标准的建议</w:t>
      </w:r>
    </w:p>
    <w:p>
      <w:pPr>
        <w:rPr>
          <w:rFonts w:hint="eastAsia"/>
          <w:i/>
        </w:rPr>
      </w:pPr>
    </w:p>
    <w:p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十二、其他应予说明的事项</w:t>
      </w:r>
    </w:p>
    <w:p>
      <w:pPr>
        <w:rPr>
          <w:rFonts w:hint="eastAsia"/>
          <w:i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E60C6"/>
    <w:multiLevelType w:val="multilevel"/>
    <w:tmpl w:val="22DE60C6"/>
    <w:lvl w:ilvl="0" w:tentative="0">
      <w:start w:val="1"/>
      <w:numFmt w:val="lowerLetter"/>
      <w:lvlText w:val="%1)"/>
      <w:lvlJc w:val="left"/>
      <w:pPr>
        <w:tabs>
          <w:tab w:val="left" w:pos="851"/>
        </w:tabs>
        <w:ind w:left="851" w:hanging="426"/>
      </w:pPr>
      <w:rPr>
        <w:rFonts w:hint="eastAsia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">
    <w:nsid w:val="44873C70"/>
    <w:multiLevelType w:val="multilevel"/>
    <w:tmpl w:val="44873C70"/>
    <w:lvl w:ilvl="0" w:tentative="0">
      <w:start w:val="1"/>
      <w:numFmt w:val="lowerLetter"/>
      <w:lvlText w:val="%1)"/>
      <w:lvlJc w:val="left"/>
      <w:pPr>
        <w:tabs>
          <w:tab w:val="left" w:pos="851"/>
        </w:tabs>
        <w:ind w:left="851" w:hanging="426"/>
      </w:pPr>
      <w:rPr>
        <w:rFonts w:hint="eastAsia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5"/>
      <w:suff w:val="nothing"/>
      <w:lvlText w:val="%1%2　"/>
      <w:lvlJc w:val="left"/>
      <w:pPr>
        <w:ind w:left="426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7"/>
      <w:suff w:val="nothing"/>
      <w:lvlText w:val="%1%2.%3　"/>
      <w:lvlJc w:val="left"/>
      <w:pPr>
        <w:ind w:left="156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5387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35"/>
    <w:rsid w:val="0004736B"/>
    <w:rsid w:val="000C204E"/>
    <w:rsid w:val="00132C00"/>
    <w:rsid w:val="00161CD2"/>
    <w:rsid w:val="0024244C"/>
    <w:rsid w:val="00285F39"/>
    <w:rsid w:val="002E1F35"/>
    <w:rsid w:val="004656F6"/>
    <w:rsid w:val="00520FE0"/>
    <w:rsid w:val="006633BA"/>
    <w:rsid w:val="006A6B56"/>
    <w:rsid w:val="006E0F94"/>
    <w:rsid w:val="0070047E"/>
    <w:rsid w:val="00764E9E"/>
    <w:rsid w:val="008F0708"/>
    <w:rsid w:val="00A33BF8"/>
    <w:rsid w:val="00A56356"/>
    <w:rsid w:val="00A740E0"/>
    <w:rsid w:val="00AB5F92"/>
    <w:rsid w:val="00AC1E52"/>
    <w:rsid w:val="00AE1F12"/>
    <w:rsid w:val="00B24A56"/>
    <w:rsid w:val="00C478E3"/>
    <w:rsid w:val="00CB603C"/>
    <w:rsid w:val="00DC29B1"/>
    <w:rsid w:val="00E0783F"/>
    <w:rsid w:val="00F60B7D"/>
    <w:rsid w:val="00FB6407"/>
    <w:rsid w:val="07EA4A63"/>
    <w:rsid w:val="27F01CCD"/>
    <w:rsid w:val="291D2502"/>
    <w:rsid w:val="31A91C65"/>
    <w:rsid w:val="36A803B2"/>
    <w:rsid w:val="3A583DFB"/>
    <w:rsid w:val="422F6F6B"/>
    <w:rsid w:val="52900EE9"/>
    <w:rsid w:val="5DA17D0E"/>
    <w:rsid w:val="5F075E98"/>
    <w:rsid w:val="6482545C"/>
    <w:rsid w:val="711C0D8B"/>
    <w:rsid w:val="734B7AF9"/>
    <w:rsid w:val="7ECB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customStyle="1" w:styleId="5">
    <w:name w:val="标准文件_章标题"/>
    <w:next w:val="6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一级条标题"/>
    <w:basedOn w:val="5"/>
    <w:next w:val="6"/>
    <w:qFormat/>
    <w:uiPriority w:val="0"/>
    <w:pPr>
      <w:numPr>
        <w:ilvl w:val="2"/>
      </w:numPr>
      <w:spacing w:beforeLines="50" w:afterLines="50"/>
      <w:ind w:left="0"/>
      <w:outlineLvl w:val="1"/>
    </w:pPr>
  </w:style>
  <w:style w:type="paragraph" w:customStyle="1" w:styleId="8">
    <w:name w:val="标准文件_二级无标题"/>
    <w:basedOn w:val="9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9">
    <w:name w:val="标准文件_二级条标题"/>
    <w:next w:val="6"/>
    <w:qFormat/>
    <w:uiPriority w:val="0"/>
    <w:pPr>
      <w:widowControl w:val="0"/>
      <w:numPr>
        <w:ilvl w:val="3"/>
        <w:numId w:val="1"/>
      </w:numPr>
      <w:spacing w:beforeLines="50" w:afterLines="50"/>
      <w:ind w:left="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</Words>
  <Characters>1061</Characters>
  <Lines>8</Lines>
  <Paragraphs>2</Paragraphs>
  <TotalTime>2</TotalTime>
  <ScaleCrop>false</ScaleCrop>
  <LinksUpToDate>false</LinksUpToDate>
  <CharactersWithSpaces>1244</CharactersWithSpaces>
  <Application>WPS Office_11.1.0.10358_F1E327BC-269C-435d-A152-05C5408002CA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2019-12-04T02:22:00Z</dcterms:created>
  <dc:creator>王炫</dc:creator>
  <cp:lastModifiedBy>86186</cp:lastModifiedBy>
  <dcterms:modified xsi:type="dcterms:W3CDTF">2022-12-06T18:20:07Z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2052-11.1.0.10358</vt:lpwstr>
  </property>
  <property fmtid="{D5CDD505-2E9C-101B-9397-08002B2CF9AE}" pid="3" name="ICV">
    <vt:lpwstr>738E9BF259D44B99B9D7538DD61C22A9</vt:lpwstr>
  </property>
</Properties>
</file>